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DDAF1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pacing w:lineRule="auto" w:line="240" w:after="0"/>
        <w:rPr>
          <w:b w:val="1"/>
          <w:sz w:val="36"/>
        </w:rPr>
      </w:pPr>
      <w:r>
        <w:rPr>
          <w:b w:val="1"/>
          <w:sz w:val="36"/>
        </w:rPr>
        <w:t>Бюджет проекту:</w:t>
      </w:r>
    </w:p>
    <w:p>
      <w:pPr>
        <w:widowControl w:val="0"/>
        <w:spacing w:lineRule="auto" w:line="240" w:after="0"/>
        <w:rPr>
          <w:sz w:val="36"/>
        </w:rPr>
      </w:pPr>
    </w:p>
    <w:tbl>
      <w:tblPr>
        <w:tblStyle w:val="T1"/>
        <w:tblW w:w="0" w:type="auto"/>
        <w:tblInd w:w="0" w:type="dxa"/>
        <w:tblLayout w:type="autofit"/>
        <w:tblCellMar>
          <w:left w:w="108" w:type="dxa"/>
          <w:right w:w="108" w:type="dxa"/>
        </w:tblCellMar>
        <w:tblLook w:val="04A0"/>
      </w:tblPr>
      <w:tblGrid/>
      <w:tr>
        <w:trPr>
          <w:gridAfter w:val="0"/>
        </w:trPr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Найменування</w:t>
            </w:r>
          </w:p>
        </w:tc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Вартість, грн</w:t>
            </w:r>
          </w:p>
        </w:tc>
      </w:tr>
      <w:tr>
        <w:trPr>
          <w:gridAfter w:val="0"/>
        </w:trPr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 xml:space="preserve">Навіс для </w:t>
            </w:r>
            <w:r>
              <w:rPr>
                <w:sz w:val="36"/>
              </w:rPr>
              <w:t>баків</w:t>
            </w:r>
          </w:p>
        </w:tc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7</w:t>
            </w:r>
            <w:r>
              <w:rPr>
                <w:sz w:val="36"/>
              </w:rPr>
              <w:t>0000</w:t>
            </w:r>
          </w:p>
        </w:tc>
      </w:tr>
      <w:tr>
        <w:trPr>
          <w:gridAfter w:val="0"/>
        </w:trPr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Доставка</w:t>
            </w:r>
          </w:p>
        </w:tc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5000</w:t>
            </w:r>
          </w:p>
        </w:tc>
      </w:tr>
      <w:tr>
        <w:trPr>
          <w:gridAfter w:val="0"/>
        </w:trPr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Монтаж</w:t>
            </w:r>
          </w:p>
        </w:tc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12000</w:t>
            </w:r>
          </w:p>
        </w:tc>
      </w:tr>
      <w:tr>
        <w:trPr>
          <w:gridAfter w:val="0"/>
        </w:trPr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Непередбачуваня витрати, 3%</w:t>
            </w:r>
          </w:p>
        </w:tc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2600</w:t>
            </w:r>
          </w:p>
        </w:tc>
      </w:tr>
      <w:tr>
        <w:trPr>
          <w:gridAfter w:val="0"/>
        </w:trPr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Резерв, 20%</w:t>
            </w:r>
          </w:p>
        </w:tc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17</w:t>
            </w:r>
            <w:r>
              <w:rPr>
                <w:sz w:val="36"/>
              </w:rPr>
              <w:t>920</w:t>
            </w:r>
          </w:p>
        </w:tc>
      </w:tr>
      <w:tr>
        <w:trPr>
          <w:gridAfter w:val="0"/>
        </w:trPr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Всього</w:t>
            </w:r>
          </w:p>
        </w:tc>
        <w:tc>
          <w:tcPr>
            <w:tcW w:w="32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after="0"/>
              <w:rPr>
                <w:sz w:val="36"/>
              </w:rPr>
            </w:pPr>
            <w:r>
              <w:rPr>
                <w:sz w:val="36"/>
              </w:rPr>
              <w:t>107</w:t>
            </w:r>
            <w:r>
              <w:rPr>
                <w:sz w:val="36"/>
              </w:rPr>
              <w:t>520</w:t>
            </w:r>
          </w:p>
        </w:tc>
      </w:tr>
    </w:tbl>
    <w:p>
      <w:pPr>
        <w:widowControl w:val="0"/>
        <w:spacing w:lineRule="auto" w:line="240" w:after="0"/>
        <w:rPr>
          <w:sz w:val="36"/>
        </w:rPr>
      </w:pPr>
    </w:p>
    <w:p/>
    <w:sectPr>
      <w:type w:val="nextPage"/>
      <w:pgMar w:left="1701" w:right="850" w:top="1134" w:bottom="113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