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72"/>
          <w:szCs w:val="72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shd w:fill="b6d7a8" w:val="clear"/>
          <w:rtl w:val="0"/>
        </w:rPr>
        <w:t xml:space="preserve">РОЗРАХУНКИ ФІНАНСОВИХ ЗАТРАТ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144 години занять/тренінгів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експерти 5 категорій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адміністратори ПРОГРАМИ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платформа  оренда 150 кв м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обладнання/техніка/мебель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2000 грн Х 144 год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288 000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чол Х 12 міс х 5 тис (0,5 ст)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300 000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адм + 1 іт адм + бухгалтер = 5Х12Х10000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600 000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1 200 000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252 000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48"/>
          <w:szCs w:val="48"/>
          <w:shd w:fill="b6d7a8" w:val="clear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shd w:fill="b6d7a8" w:val="clear"/>
          <w:rtl w:val="0"/>
        </w:rPr>
        <w:t xml:space="preserve">2 640 000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11.6535433070867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