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Спецификация на светильники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b w:val="1"/>
          <w:rtl w:val="0"/>
        </w:rPr>
        <w:t xml:space="preserve">ITW SYSTEMS PARK LED-30W/840-I/C-01(ITW1-3700-27-0-551-11)</w:t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ITW1-HM1/3700/42/0/0/0/27/551/1/0/11/0/0/25/1/114/70/6565/5/2.4/2/1/85/0/1/6/511/1/4676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Серия светильника: парковый PARK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Количество модулей, шт: 1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Световой поток светильника, не менее, лм: 3700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Активная мощность, Вт: 27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Эффективность, не менее, Лм/Вт: 137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Производитель светодиодов: OSRAM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Цветовая температура, K: 4000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Цветопередача, не менее, Ra: 80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Количество светодиодов, шт: 70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Оптическая система: без отражателей и оптики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Кривая силы света: Д (косинусная), FWHM: (120°;100°), Кф= (1,45;1,75)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Материал рассеивателя: светорассеивающий поликарбонат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Тип источника питания: Industrial (165-275V AC 75W)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Расположение источника питания: внутренний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Тип подключения: клеммная коробка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Тип крепежа: на консоль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Материал крепежа: оцинкованная сталь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Покрытие корпуса: серебристый анод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Управление яркостью: нет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Диапазон рабочих температур, °C: -40 - +50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Рабочая температура, °C: 25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Место эксплуатации: на открытом воздухе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Ожидаемый срок службы L70, часов: (25C): 85000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Защита оптической части: IP65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Защита источника питания: IP65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Длина светильника, не более, мм: 791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Ширина, мм: 93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Высота, мм: 82</w:t>
      </w:r>
      <w:r w:rsidDel="00000000" w:rsidR="00000000" w:rsidRPr="00000000">
        <w:drawing>
          <wp:anchor allowOverlap="1" behindDoc="0" distB="0" distT="0" distL="0" distR="0" hidden="0" layoutInCell="0" locked="0" relativeHeight="0" simplePos="0">
            <wp:simplePos x="0" y="0"/>
            <wp:positionH relativeFrom="margin">
              <wp:posOffset>1851220</wp:posOffset>
            </wp:positionH>
            <wp:positionV relativeFrom="paragraph">
              <wp:posOffset>147638</wp:posOffset>
            </wp:positionV>
            <wp:extent cx="4216205" cy="2138363"/>
            <wp:effectExtent b="0" l="0" r="0" t="0"/>
            <wp:wrapSquare wrapText="bothSides" distB="0" distT="0" distL="0" distR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12294" l="0" r="0" t="6478"/>
                    <a:stretch>
                      <a:fillRect/>
                    </a:stretch>
                  </pic:blipFill>
                  <pic:spPr>
                    <a:xfrm>
                      <a:off x="0" y="0"/>
                      <a:ext cx="4216205" cy="2138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Вес, кг: 3.3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Пусковой ток, А: 0.19</w:t>
      </w:r>
    </w:p>
    <w:p w:rsidR="00000000" w:rsidDel="00000000" w:rsidP="00000000" w:rsidRDefault="00000000" w:rsidRPr="00000000">
      <w:pPr>
        <w:spacing w:after="0" w:lineRule="auto"/>
        <w:contextualSpacing w:val="0"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Пусковой ток (время), мс: &lt;20</w:t>
      </w:r>
    </w:p>
    <w:sectPr>
      <w:headerReference r:id="rId6" w:type="default"/>
      <w:footerReference r:id="rId7" w:type="default"/>
      <w:pgSz w:h="16838" w:w="11906"/>
      <w:pgMar w:bottom="709" w:top="567" w:left="1418" w:right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819"/>
        <w:tab w:val="right" w:pos="9639"/>
      </w:tabs>
      <w:spacing w:after="709" w:before="0" w:line="240" w:lineRule="auto"/>
      <w:contextualSpacing w:val="0"/>
    </w:pPr>
    <w:hyperlink r:id="rId1">
      <w:r w:rsidDel="00000000" w:rsidR="00000000" w:rsidRPr="00000000">
        <w:rPr>
          <w:rtl w:val="0"/>
        </w:rPr>
      </w:r>
    </w:hyperlink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1"/>
      <w:bidiVisual w:val="0"/>
      <w:tblW w:w="13959.0" w:type="dxa"/>
      <w:jc w:val="left"/>
      <w:tblInd w:w="-6.999999999999993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4111"/>
      <w:gridCol w:w="9848"/>
      <w:tblGridChange w:id="0">
        <w:tblGrid>
          <w:gridCol w:w="4111"/>
          <w:gridCol w:w="9848"/>
        </w:tblGrid>
      </w:tblGridChange>
    </w:tblGrid>
    <w:tr>
      <w:tc>
        <w:tcPr/>
        <w:p w:rsidR="00000000" w:rsidDel="00000000" w:rsidP="00000000" w:rsidRDefault="00000000" w:rsidRPr="00000000">
          <w:pPr>
            <w:spacing w:before="709" w:lineRule="auto"/>
            <w:contextualSpacing w:val="0"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ООО «ИНТЕЛТЕК УКРАИНА»</w:t>
          </w:r>
        </w:p>
        <w:p w:rsidR="00000000" w:rsidDel="00000000" w:rsidP="00000000" w:rsidRDefault="00000000" w:rsidRPr="00000000">
          <w:pPr>
            <w:contextualSpacing w:val="0"/>
          </w:pPr>
          <w:hyperlink r:id="rId1"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  <w:rtl w:val="0"/>
              </w:rPr>
              <w:t xml:space="preserve">www.itw-systems.com</w:t>
            </w:r>
          </w:hyperlink>
        </w:p>
        <w:p w:rsidR="00000000" w:rsidDel="00000000" w:rsidP="00000000" w:rsidRDefault="00000000" w:rsidRPr="00000000">
          <w:pPr>
            <w:contextualSpacing w:val="0"/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Адрес: ул. Шолуденко, 27/6, офис 139</w:t>
          </w:r>
        </w:p>
        <w:p w:rsidR="00000000" w:rsidDel="00000000" w:rsidP="00000000" w:rsidRDefault="00000000" w:rsidRPr="00000000">
          <w:pPr>
            <w:contextualSpacing w:val="0"/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Украина, г. Киев, 04116 </w:t>
          </w:r>
        </w:p>
        <w:p w:rsidR="00000000" w:rsidDel="00000000" w:rsidP="00000000" w:rsidRDefault="00000000" w:rsidRPr="00000000">
          <w:pPr>
            <w:tabs>
              <w:tab w:val="left" w:pos="2761"/>
              <w:tab w:val="left" w:pos="4695"/>
            </w:tabs>
            <w:contextualSpacing w:val="0"/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Тел. +38-044-222-83-23</w:t>
            <w:tab/>
          </w:r>
        </w:p>
        <w:p w:rsidR="00000000" w:rsidDel="00000000" w:rsidP="00000000" w:rsidRDefault="00000000" w:rsidRPr="00000000">
          <w:pPr>
            <w:contextualSpacing w:val="0"/>
          </w:pPr>
          <w:hyperlink r:id="rId2"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  <w:rtl w:val="0"/>
              </w:rPr>
              <w:t xml:space="preserve">info@itw-systems.com</w:t>
            </w:r>
          </w:hyperlink>
          <w:hyperlink r:id="rId3">
            <w:r w:rsidDel="00000000" w:rsidR="00000000" w:rsidRPr="00000000">
              <w:rPr>
                <w:rtl w:val="0"/>
              </w:rPr>
            </w:r>
          </w:hyperlink>
        </w:p>
      </w:tc>
      <w:tc>
        <w:tcPr>
          <w:vAlign w:val="center"/>
        </w:tcPr>
        <w:p w:rsidR="00000000" w:rsidDel="00000000" w:rsidP="00000000" w:rsidRDefault="00000000" w:rsidRPr="00000000">
          <w:pPr>
            <w:spacing w:before="709" w:lineRule="auto"/>
            <w:contextualSpacing w:val="0"/>
            <w:jc w:val="right"/>
          </w:pPr>
          <w:hyperlink r:id="rId4">
            <w:r w:rsidDel="00000000" w:rsidR="00000000" w:rsidRPr="00000000">
              <w:rPr>
                <w:rtl w:val="0"/>
              </w:rPr>
            </w:r>
          </w:hyperlink>
          <w:r w:rsidDel="00000000" w:rsidR="00000000" w:rsidRPr="00000000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1379220</wp:posOffset>
                </wp:positionH>
                <wp:positionV relativeFrom="paragraph">
                  <wp:posOffset>60325</wp:posOffset>
                </wp:positionV>
                <wp:extent cx="2061210" cy="479425"/>
                <wp:effectExtent b="0" l="0" r="0" t="0"/>
                <wp:wrapSquare wrapText="bothSides" distB="0" distT="0" distL="114300" distR="114300"/>
                <wp:docPr descr="X:\ITW\Документы\Logo\logo_new.png" id="2" name="image03.png"/>
                <a:graphic>
                  <a:graphicData uri="http://schemas.openxmlformats.org/drawingml/2006/picture">
                    <pic:pic>
                      <pic:nvPicPr>
                        <pic:cNvPr descr="X:\ITW\Документы\Logo\logo_new.png" id="0" name="image03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1210" cy="479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>
    <w:pPr>
      <w:tabs>
        <w:tab w:val="center" w:pos="4819"/>
        <w:tab w:val="right" w:pos="9639"/>
      </w:tabs>
      <w:spacing w:after="0" w:before="0" w:line="240" w:lineRule="auto"/>
      <w:contextualSpacing w:val="0"/>
    </w:pPr>
    <w:hyperlink r:id="rId6">
      <w:r w:rsidDel="00000000" w:rsidR="00000000" w:rsidRPr="00000000">
        <w:rPr>
          <w:rtl w:val="0"/>
        </w:rPr>
      </w:r>
    </w:hyperlink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png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itw-systems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tw-systems.com" TargetMode="External"/><Relationship Id="rId2" Type="http://schemas.openxmlformats.org/officeDocument/2006/relationships/hyperlink" Target="mailto:info@itw-systems.com" TargetMode="External"/><Relationship Id="rId3" Type="http://schemas.openxmlformats.org/officeDocument/2006/relationships/hyperlink" Target="mailto:info@itw-systems.com" TargetMode="External"/><Relationship Id="rId4" Type="http://schemas.openxmlformats.org/officeDocument/2006/relationships/hyperlink" Target="mailto:info@itw-systems.com" TargetMode="External"/><Relationship Id="rId5" Type="http://schemas.openxmlformats.org/officeDocument/2006/relationships/image" Target="media/image03.png"/><Relationship Id="rId6" Type="http://schemas.openxmlformats.org/officeDocument/2006/relationships/hyperlink" Target="mailto:info@itw-systems.com" TargetMode="External"/></Relationships>
</file>