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55" w:rsidRPr="00FB5215" w:rsidRDefault="00451055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 ПРО АНАЛІЗ ВІДПОВІДНОСТІ ПРОЕКТУ</w:t>
      </w:r>
    </w:p>
    <w:p w:rsidR="00451055" w:rsidRPr="00FB5215" w:rsidRDefault="000C61EF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</w:t>
      </w:r>
      <w:r w:rsidR="008935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893581" w:rsidRPr="005E346C">
        <w:rPr>
          <w:rFonts w:ascii="Times New Roman" w:hAnsi="Times New Roman"/>
          <w:b/>
          <w:bCs/>
          <w:sz w:val="28"/>
          <w:szCs w:val="28"/>
          <w:lang w:val="ru-RU" w:eastAsia="uk-UA"/>
        </w:rPr>
        <w:t>724</w:t>
      </w:r>
      <w:r w:rsidR="00893581" w:rsidRPr="00FB5215">
        <w:rPr>
          <w:rFonts w:ascii="Times New Roman" w:hAnsi="Times New Roman"/>
          <w:b/>
          <w:bCs/>
          <w:sz w:val="28"/>
          <w:szCs w:val="28"/>
          <w:lang w:eastAsia="uk-UA"/>
        </w:rPr>
        <w:t>,</w:t>
      </w:r>
      <w:r w:rsidR="00893581" w:rsidRPr="000E7784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="00893581">
        <w:rPr>
          <w:rFonts w:ascii="Times New Roman" w:hAnsi="Times New Roman"/>
          <w:b/>
          <w:bCs/>
          <w:sz w:val="28"/>
          <w:szCs w:val="28"/>
          <w:lang w:eastAsia="uk-UA"/>
        </w:rPr>
        <w:t>«</w:t>
      </w:r>
      <w:proofErr w:type="spellStart"/>
      <w:r w:rsidR="00893581" w:rsidRPr="00893581">
        <w:rPr>
          <w:rFonts w:ascii="Times New Roman" w:hAnsi="Times New Roman"/>
          <w:b/>
          <w:bCs/>
          <w:sz w:val="28"/>
          <w:szCs w:val="28"/>
          <w:lang w:val="ru-RU" w:eastAsia="uk-UA"/>
        </w:rPr>
        <w:t>Громадська</w:t>
      </w:r>
      <w:proofErr w:type="spellEnd"/>
      <w:r w:rsidR="00893581" w:rsidRPr="00893581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платформа </w:t>
      </w:r>
      <w:proofErr w:type="spellStart"/>
      <w:r w:rsidR="00893581">
        <w:rPr>
          <w:rFonts w:ascii="Times New Roman" w:hAnsi="Times New Roman"/>
          <w:b/>
          <w:bCs/>
          <w:sz w:val="28"/>
          <w:szCs w:val="28"/>
          <w:lang w:val="en-US" w:eastAsia="uk-UA"/>
        </w:rPr>
        <w:t>SportMedia</w:t>
      </w:r>
      <w:proofErr w:type="spellEnd"/>
      <w:r w:rsidR="00893581" w:rsidRPr="00893581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- 21</w:t>
      </w:r>
      <w:r w:rsidR="00974871" w:rsidRPr="0097487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  <w:r w:rsidR="00974871" w:rsidRPr="009748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законодавству, Положенню та можливості його реалізації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0C61EF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Відповідальний: </w:t>
            </w:r>
            <w:r w:rsidR="000C61EF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Департамент молоді та спорту виконавчого органу Київської міської ради (Київської міської державної адміністрації).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призначення відповідальним за експертизу: </w:t>
            </w:r>
            <w:r w:rsidR="004455D0" w:rsidRPr="00445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26</w:t>
            </w:r>
            <w:r w:rsidR="001B272F" w:rsidRPr="001B2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r w:rsidR="005C5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березня</w:t>
            </w:r>
            <w:r w:rsidR="001B2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2019</w:t>
            </w:r>
            <w:r w:rsidR="00A05A31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року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публікації звіту: 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Зміст заходу:</w:t>
            </w: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Запропонований проект належить до повноважень Київської міської влади та відповідає Положенню: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Запропонований проект відповідає чинному законодавству: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позитивний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негативний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2817BC" w:rsidRPr="00FB5215" w:rsidRDefault="002817BC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а) так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(обґрунтування в якій частині суперечить вимогам)</w:t>
            </w:r>
          </w:p>
          <w:p w:rsidR="00451055" w:rsidRPr="00FB5215" w:rsidRDefault="009D5449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б)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ні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259A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 Проект не буде бюджетно-ефективним на етапі реалізації та/чи експлуатації: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7EFE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 Витрати за кошторисом, призначеним на реалізацію запропонованого проекту:</w:t>
            </w:r>
          </w:p>
          <w:p w:rsidR="00451055" w:rsidRPr="00893581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35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без додаткових зауважень</w:t>
            </w:r>
          </w:p>
          <w:p w:rsidR="00451055" w:rsidRPr="00893581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93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із зауваженнями (необхідно внести або уточнити їх, використовуючи для обґрунтування дані, наведені в таблиці нижче)</w:t>
            </w:r>
          </w:p>
          <w:p w:rsidR="00D86EE2" w:rsidRPr="00FB5215" w:rsidRDefault="00D86EE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 Наявний гарантійний лист щодо доступності (у випадку, коли такий лист є необхідним):</w:t>
            </w:r>
          </w:p>
          <w:p w:rsidR="00451055" w:rsidRPr="00893581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35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Pr="00893581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93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451055" w:rsidRPr="005C5890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C58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в) гарантійний лист щодо доступності не потрібен</w:t>
            </w:r>
          </w:p>
        </w:tc>
      </w:tr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361B9" w:rsidRDefault="005361B9" w:rsidP="009D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2268"/>
        <w:gridCol w:w="1134"/>
        <w:gridCol w:w="1418"/>
        <w:gridCol w:w="1417"/>
        <w:gridCol w:w="1134"/>
        <w:gridCol w:w="1276"/>
        <w:gridCol w:w="1843"/>
      </w:tblGrid>
      <w:tr w:rsidR="00B85BE5" w:rsidRPr="00825AD5" w:rsidTr="00E95659">
        <w:tc>
          <w:tcPr>
            <w:tcW w:w="2268" w:type="dxa"/>
            <w:vMerge w:val="restart"/>
          </w:tcPr>
          <w:p w:rsidR="00B85BE5" w:rsidRPr="00825AD5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85BE5" w:rsidRPr="00825AD5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Найменування</w:t>
            </w:r>
          </w:p>
        </w:tc>
        <w:tc>
          <w:tcPr>
            <w:tcW w:w="3969" w:type="dxa"/>
            <w:gridSpan w:val="3"/>
          </w:tcPr>
          <w:p w:rsidR="00B85BE5" w:rsidRPr="00825AD5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Запропоноване Командою проекту</w:t>
            </w:r>
          </w:p>
        </w:tc>
        <w:tc>
          <w:tcPr>
            <w:tcW w:w="4253" w:type="dxa"/>
            <w:gridSpan w:val="3"/>
          </w:tcPr>
          <w:p w:rsidR="00B85BE5" w:rsidRPr="00825AD5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Пропозиція експертної групи</w:t>
            </w:r>
          </w:p>
        </w:tc>
      </w:tr>
      <w:tr w:rsidR="008B6084" w:rsidRPr="00825AD5" w:rsidTr="00E95659">
        <w:tc>
          <w:tcPr>
            <w:tcW w:w="2268" w:type="dxa"/>
            <w:vMerge/>
          </w:tcPr>
          <w:p w:rsidR="00E76D6F" w:rsidRPr="00825AD5" w:rsidRDefault="00E76D6F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418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417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  <w:tc>
          <w:tcPr>
            <w:tcW w:w="1134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276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843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</w:tr>
      <w:tr w:rsidR="009E4966" w:rsidRPr="00825AD5" w:rsidTr="00E95659">
        <w:tc>
          <w:tcPr>
            <w:tcW w:w="2268" w:type="dxa"/>
          </w:tcPr>
          <w:p w:rsidR="009E4966" w:rsidRPr="00825AD5" w:rsidRDefault="00F30291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Найменування товарів, робіт, послуг: </w:t>
            </w:r>
          </w:p>
        </w:tc>
        <w:tc>
          <w:tcPr>
            <w:tcW w:w="1134" w:type="dxa"/>
            <w:vAlign w:val="center"/>
          </w:tcPr>
          <w:p w:rsidR="0082572D" w:rsidRPr="00825AD5" w:rsidRDefault="0082572D" w:rsidP="00D423CA">
            <w:pPr>
              <w:jc w:val="center"/>
              <w:rPr>
                <w:rFonts w:ascii="Times New Roman" w:hAnsi="Times New Roman" w:cs="Times New Roman"/>
              </w:rPr>
            </w:pPr>
          </w:p>
          <w:p w:rsidR="009E4966" w:rsidRPr="00825AD5" w:rsidRDefault="009E4966" w:rsidP="00D4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5D124D" w:rsidRPr="00825AD5" w:rsidTr="00893581">
        <w:trPr>
          <w:trHeight w:val="70"/>
        </w:trPr>
        <w:tc>
          <w:tcPr>
            <w:tcW w:w="2268" w:type="dxa"/>
          </w:tcPr>
          <w:p w:rsidR="005D124D" w:rsidRPr="000253AE" w:rsidRDefault="005D124D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 </w:t>
            </w:r>
            <w:r w:rsidR="008935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 для проведення заходів</w:t>
            </w:r>
          </w:p>
        </w:tc>
        <w:tc>
          <w:tcPr>
            <w:tcW w:w="1134" w:type="dxa"/>
          </w:tcPr>
          <w:p w:rsidR="005D124D" w:rsidRPr="000253AE" w:rsidRDefault="005D124D" w:rsidP="008935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</w:tcPr>
          <w:p w:rsidR="005D124D" w:rsidRPr="000253AE" w:rsidRDefault="00893581" w:rsidP="008935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124D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1417" w:type="dxa"/>
          </w:tcPr>
          <w:p w:rsidR="005D124D" w:rsidRDefault="00893581" w:rsidP="008935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124D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  <w:p w:rsidR="005D124D" w:rsidRPr="000253AE" w:rsidRDefault="005D124D" w:rsidP="008935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4D" w:rsidRPr="000253AE" w:rsidRDefault="005D124D" w:rsidP="008935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</w:tcPr>
          <w:p w:rsidR="005D124D" w:rsidRPr="000253AE" w:rsidRDefault="00893581" w:rsidP="008935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124D" w:rsidRDefault="00893581" w:rsidP="008935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D124D" w:rsidRPr="000253AE" w:rsidRDefault="005D124D" w:rsidP="008935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581" w:rsidRPr="00825AD5" w:rsidTr="00D55D57">
        <w:tc>
          <w:tcPr>
            <w:tcW w:w="2268" w:type="dxa"/>
          </w:tcPr>
          <w:p w:rsidR="00893581" w:rsidRPr="00410165" w:rsidRDefault="00893581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Гонорари для куратора та учасників проекту</w:t>
            </w:r>
          </w:p>
        </w:tc>
        <w:tc>
          <w:tcPr>
            <w:tcW w:w="1134" w:type="dxa"/>
          </w:tcPr>
          <w:p w:rsidR="00893581" w:rsidRPr="000253AE" w:rsidRDefault="00893581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</w:tcPr>
          <w:p w:rsidR="00893581" w:rsidRPr="000253AE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17" w:type="dxa"/>
          </w:tcPr>
          <w:p w:rsidR="00893581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  <w:p w:rsidR="00893581" w:rsidRPr="000253AE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81" w:rsidRPr="000253AE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</w:tcPr>
          <w:p w:rsidR="00893581" w:rsidRPr="000253AE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93581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93581" w:rsidRPr="000253AE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581" w:rsidRPr="00825AD5" w:rsidTr="00710028">
        <w:tc>
          <w:tcPr>
            <w:tcW w:w="2268" w:type="dxa"/>
          </w:tcPr>
          <w:p w:rsidR="00893581" w:rsidRPr="000253AE" w:rsidRDefault="00893581" w:rsidP="002108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оргтехнікою</w:t>
            </w:r>
          </w:p>
        </w:tc>
        <w:tc>
          <w:tcPr>
            <w:tcW w:w="1134" w:type="dxa"/>
          </w:tcPr>
          <w:p w:rsidR="00893581" w:rsidRPr="000253AE" w:rsidRDefault="00893581" w:rsidP="002108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418" w:type="dxa"/>
          </w:tcPr>
          <w:p w:rsidR="00893581" w:rsidRPr="000253AE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1417" w:type="dxa"/>
          </w:tcPr>
          <w:p w:rsidR="00893581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  <w:p w:rsidR="00893581" w:rsidRPr="000253AE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81" w:rsidRPr="000253AE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253AE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послуга</w:t>
            </w:r>
          </w:p>
        </w:tc>
        <w:tc>
          <w:tcPr>
            <w:tcW w:w="1276" w:type="dxa"/>
          </w:tcPr>
          <w:p w:rsidR="00893581" w:rsidRPr="000253AE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93581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93581" w:rsidRPr="000253AE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C3B" w:rsidRPr="00825AD5" w:rsidTr="00E95659">
        <w:tc>
          <w:tcPr>
            <w:tcW w:w="2268" w:type="dxa"/>
            <w:vAlign w:val="center"/>
          </w:tcPr>
          <w:p w:rsidR="00177C3B" w:rsidRPr="00825AD5" w:rsidRDefault="00177C3B" w:rsidP="009D5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AD5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177C3B" w:rsidRPr="00825AD5" w:rsidRDefault="00893581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50 000</w:t>
            </w:r>
            <w:r w:rsidR="00177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134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77C3B" w:rsidRPr="00825AD5" w:rsidRDefault="00177C3B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177C3B" w:rsidRPr="00825AD5" w:rsidRDefault="00893581" w:rsidP="0021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93581" w:rsidRPr="00825AD5" w:rsidTr="00681CA0">
        <w:tc>
          <w:tcPr>
            <w:tcW w:w="2268" w:type="dxa"/>
          </w:tcPr>
          <w:p w:rsidR="00893581" w:rsidRPr="00825AD5" w:rsidRDefault="00893581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proofErr w:type="spellStart"/>
            <w:r w:rsidRPr="00825AD5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Резервний</w:t>
            </w:r>
            <w:proofErr w:type="spellEnd"/>
            <w:r w:rsidRPr="00825AD5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фонд 20%</w:t>
            </w:r>
          </w:p>
        </w:tc>
        <w:tc>
          <w:tcPr>
            <w:tcW w:w="1134" w:type="dxa"/>
            <w:vAlign w:val="center"/>
          </w:tcPr>
          <w:p w:rsidR="00893581" w:rsidRPr="00825AD5" w:rsidRDefault="00893581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893581" w:rsidRPr="00825AD5" w:rsidRDefault="00893581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7" w:type="dxa"/>
          </w:tcPr>
          <w:p w:rsidR="00893581" w:rsidRPr="00893581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10 000,00</w:t>
            </w:r>
          </w:p>
          <w:p w:rsidR="00893581" w:rsidRPr="00893581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3581" w:rsidRPr="00825AD5" w:rsidRDefault="00893581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93581" w:rsidRPr="00825AD5" w:rsidRDefault="00893581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893581" w:rsidRPr="00825AD5" w:rsidRDefault="00893581" w:rsidP="0021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0</w:t>
            </w:r>
          </w:p>
        </w:tc>
      </w:tr>
      <w:tr w:rsidR="00893581" w:rsidRPr="00825AD5" w:rsidTr="00E95659">
        <w:tc>
          <w:tcPr>
            <w:tcW w:w="2268" w:type="dxa"/>
          </w:tcPr>
          <w:p w:rsidR="00893581" w:rsidRPr="00825AD5" w:rsidRDefault="00893581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b/>
                <w:lang w:eastAsia="uk-UA"/>
              </w:rPr>
              <w:t>Всього на проект:</w:t>
            </w:r>
          </w:p>
        </w:tc>
        <w:tc>
          <w:tcPr>
            <w:tcW w:w="1134" w:type="dxa"/>
          </w:tcPr>
          <w:p w:rsidR="00893581" w:rsidRPr="00825AD5" w:rsidRDefault="00893581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</w:tcPr>
          <w:p w:rsidR="00893581" w:rsidRPr="00825AD5" w:rsidRDefault="00893581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7" w:type="dxa"/>
          </w:tcPr>
          <w:p w:rsidR="00893581" w:rsidRPr="00893581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893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0 000,00</w:t>
            </w:r>
          </w:p>
          <w:p w:rsidR="00893581" w:rsidRPr="00893581" w:rsidRDefault="00893581" w:rsidP="00A81C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81" w:rsidRPr="00825AD5" w:rsidRDefault="00893581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</w:tcPr>
          <w:p w:rsidR="00893581" w:rsidRPr="00825AD5" w:rsidRDefault="00893581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</w:tcPr>
          <w:p w:rsidR="00893581" w:rsidRPr="00825AD5" w:rsidRDefault="00893581" w:rsidP="0021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0</w:t>
            </w:r>
          </w:p>
        </w:tc>
      </w:tr>
    </w:tbl>
    <w:p w:rsidR="00451055" w:rsidRPr="00AC233F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фінансування з бюджету міста Києва, потрібна для реалізації проекту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(пр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опозиція експерта)</w:t>
      </w:r>
      <w:r w:rsidR="0011415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8935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601A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0 000,00</w:t>
      </w:r>
      <w:r w:rsidRPr="00AC23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грн</w:t>
      </w:r>
      <w:r w:rsidR="003A6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51055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Обґрунтування:</w:t>
      </w:r>
    </w:p>
    <w:p w:rsidR="00893581" w:rsidRPr="00893581" w:rsidRDefault="00347A0E" w:rsidP="002E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35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 </w:t>
      </w:r>
      <w:r w:rsidR="0089358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передбачає п</w:t>
      </w:r>
      <w:r w:rsidR="00893581">
        <w:rPr>
          <w:rFonts w:ascii="Times New Roman" w:hAnsi="Times New Roman" w:cs="Times New Roman"/>
          <w:sz w:val="28"/>
          <w:szCs w:val="28"/>
        </w:rPr>
        <w:t>опуляризацію спорту та</w:t>
      </w:r>
      <w:r w:rsidR="00893581" w:rsidRPr="00893581">
        <w:rPr>
          <w:rFonts w:ascii="Times New Roman" w:hAnsi="Times New Roman" w:cs="Times New Roman"/>
          <w:sz w:val="28"/>
          <w:szCs w:val="28"/>
        </w:rPr>
        <w:t xml:space="preserve"> принципів здорового способу життя, підвищення рівня обізнаності громадян щодо</w:t>
      </w:r>
      <w:r w:rsidR="00893581">
        <w:rPr>
          <w:rFonts w:ascii="Times New Roman" w:hAnsi="Times New Roman" w:cs="Times New Roman"/>
          <w:sz w:val="28"/>
          <w:szCs w:val="28"/>
        </w:rPr>
        <w:t xml:space="preserve"> </w:t>
      </w:r>
      <w:r w:rsidR="00893581" w:rsidRPr="00893581">
        <w:rPr>
          <w:rFonts w:ascii="Times New Roman" w:hAnsi="Times New Roman" w:cs="Times New Roman"/>
          <w:sz w:val="28"/>
          <w:szCs w:val="28"/>
        </w:rPr>
        <w:t xml:space="preserve">проблем у </w:t>
      </w:r>
      <w:r w:rsidR="00893581" w:rsidRPr="00893581">
        <w:rPr>
          <w:rFonts w:ascii="Times New Roman" w:hAnsi="Times New Roman" w:cs="Times New Roman"/>
          <w:sz w:val="28"/>
          <w:szCs w:val="28"/>
        </w:rPr>
        <w:lastRenderedPageBreak/>
        <w:t>зазначеній сфері</w:t>
      </w:r>
      <w:r w:rsidR="00893581">
        <w:rPr>
          <w:rFonts w:ascii="Times New Roman" w:hAnsi="Times New Roman" w:cs="Times New Roman"/>
          <w:sz w:val="28"/>
          <w:szCs w:val="28"/>
        </w:rPr>
        <w:t xml:space="preserve"> шляхом обговорення та висвітлення у ЗМІ на базі медіа-платформи</w:t>
      </w:r>
      <w:r w:rsidR="00893581" w:rsidRPr="00893581">
        <w:rPr>
          <w:rFonts w:ascii="Times New Roman" w:hAnsi="Times New Roman" w:cs="Times New Roman"/>
          <w:sz w:val="28"/>
          <w:szCs w:val="28"/>
        </w:rPr>
        <w:t>.</w:t>
      </w:r>
    </w:p>
    <w:p w:rsidR="00347A0E" w:rsidRDefault="00347A0E" w:rsidP="0089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Запропонований автором бюджет проекту становить </w:t>
      </w:r>
      <w:r w:rsidR="00893581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>0 000,00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 </w:t>
      </w:r>
      <w:r w:rsidR="00893581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8F2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екомендований експертною групою бюджет проекту становить </w:t>
      </w:r>
      <w:r w:rsidR="00893581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E185C">
        <w:rPr>
          <w:rFonts w:ascii="Times New Roman" w:eastAsia="Times New Roman" w:hAnsi="Times New Roman" w:cs="Times New Roman"/>
          <w:sz w:val="28"/>
          <w:szCs w:val="28"/>
          <w:lang w:eastAsia="uk-UA"/>
        </w:rPr>
        <w:t>,00</w:t>
      </w:r>
      <w:r w:rsidR="0002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  <w:r w:rsidR="008935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Оскільки</w:t>
      </w:r>
      <w:r w:rsidR="0002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93581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</w:t>
      </w:r>
      <w:r w:rsidR="00902C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молоді та спорту</w:t>
      </w:r>
      <w:r w:rsidR="008935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готовий надати приміщення для проведення зазначеного заходу на безоплатній основі та забезпечити </w:t>
      </w:r>
      <w:r w:rsidR="00902C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його оргтехнікою, яка знаходиться у власності, підпорядкованої Департаменту, комунальної установи «Київський молодіжний центр». Також згідно чинного законодавства у галузі молоді та спорту відсутні витрати для гонорарів куратора та учасників проекту.  </w:t>
      </w:r>
    </w:p>
    <w:p w:rsidR="00451055" w:rsidRPr="00FB5215" w:rsidRDefault="00A961CA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51055"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3. Подібні проекти (до 3-х) та їх кошториси, які реалізовані у Києві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відсутні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 Оцінка параметрів ефективності проекту: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14.1. </w:t>
      </w:r>
      <w:proofErr w:type="spellStart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Інноваційність</w:t>
      </w:r>
      <w:proofErr w:type="spellEnd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14.2. Соціальність вказана: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Так 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14.2.1. Бюджетна ефективність на етапі реалізації:  </w:t>
      </w:r>
      <w:r w:rsidRPr="00902C0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</w:t>
      </w:r>
      <w:r w:rsidRPr="00902C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Ні</w:t>
      </w:r>
    </w:p>
    <w:p w:rsidR="00DE1721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14.2.2. Бюджетна ефективність на етапі функціонування після реалізації:</w:t>
      </w:r>
      <w:r w:rsidR="00DE17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51055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2C0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</w:t>
      </w:r>
      <w:r w:rsidRPr="00902C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Ні</w:t>
      </w:r>
    </w:p>
    <w:p w:rsidR="00DE1721" w:rsidRPr="00FB5215" w:rsidRDefault="00DE1721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13"/>
        <w:gridCol w:w="3213"/>
        <w:gridCol w:w="3213"/>
      </w:tblGrid>
      <w:tr w:rsidR="00451055" w:rsidRPr="00FB5215" w:rsidTr="0045105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51055" w:rsidRPr="00C6610A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не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потребує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 Висновок щодо відповідності проекту законодавству, положенню та можливості його реалізації:</w:t>
            </w:r>
          </w:p>
          <w:p w:rsidR="00451055" w:rsidRPr="00902C0A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2C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позитивний</w:t>
            </w:r>
            <w:r w:rsidR="00F372FA" w:rsidRPr="00902C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451055" w:rsidRPr="00902C0A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02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негативний</w:t>
            </w:r>
          </w:p>
          <w:p w:rsidR="00650E16" w:rsidRPr="00FB5215" w:rsidRDefault="002935AC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</w:t>
            </w:r>
          </w:p>
          <w:p w:rsidR="00DE1721" w:rsidRDefault="00DE1721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747FB5" w:rsidRDefault="004E548A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  <w:r w:rsidR="00747FB5"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Департаменту</w:t>
            </w:r>
          </w:p>
          <w:p w:rsidR="00747FB5" w:rsidRPr="00747FB5" w:rsidRDefault="0011082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молоді та спорту                                            </w:t>
            </w:r>
            <w:r w:rsidR="004E54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Вадим ГУТЦАЙТ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  <w:p w:rsidR="00B46BED" w:rsidRDefault="00B46BED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271AB" w:rsidRDefault="00893581" w:rsidP="0090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273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</w:t>
            </w:r>
            <w:bookmarkStart w:id="0" w:name="_GoBack"/>
            <w:bookmarkEnd w:id="0"/>
            <w:r w:rsidR="004E54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ня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2019</w:t>
            </w:r>
            <w:r w:rsidR="00902C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</w:t>
            </w:r>
          </w:p>
          <w:p w:rsidR="002E185C" w:rsidRDefault="002E185C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D61AE" w:rsidRPr="00747FB5" w:rsidRDefault="00902C0A" w:rsidP="00ED6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279 17 64 </w:t>
            </w:r>
          </w:p>
          <w:p w:rsidR="00ED61AE" w:rsidRDefault="00ED61AE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FB5215" w:rsidRDefault="00747FB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51055" w:rsidRPr="00FB5215" w:rsidTr="0045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C6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344FF9" w:rsidRDefault="00344FF9">
      <w:pPr>
        <w:rPr>
          <w:rFonts w:ascii="Times New Roman" w:hAnsi="Times New Roman" w:cs="Times New Roman"/>
          <w:sz w:val="28"/>
          <w:szCs w:val="28"/>
        </w:rPr>
      </w:pPr>
    </w:p>
    <w:sectPr w:rsidR="00344FF9" w:rsidSect="00ED61A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859"/>
    <w:rsid w:val="000271AB"/>
    <w:rsid w:val="00057B16"/>
    <w:rsid w:val="0007371E"/>
    <w:rsid w:val="00077431"/>
    <w:rsid w:val="00083720"/>
    <w:rsid w:val="0008447A"/>
    <w:rsid w:val="000B7F47"/>
    <w:rsid w:val="000C61EF"/>
    <w:rsid w:val="00110822"/>
    <w:rsid w:val="00110BF3"/>
    <w:rsid w:val="0011415D"/>
    <w:rsid w:val="001570E2"/>
    <w:rsid w:val="00177C3B"/>
    <w:rsid w:val="001A2910"/>
    <w:rsid w:val="001B272F"/>
    <w:rsid w:val="001C62B4"/>
    <w:rsid w:val="001D5859"/>
    <w:rsid w:val="00205084"/>
    <w:rsid w:val="002209D0"/>
    <w:rsid w:val="002221F8"/>
    <w:rsid w:val="0022241A"/>
    <w:rsid w:val="00224BBE"/>
    <w:rsid w:val="0025546B"/>
    <w:rsid w:val="00273590"/>
    <w:rsid w:val="002817BC"/>
    <w:rsid w:val="002935AC"/>
    <w:rsid w:val="002A6BFE"/>
    <w:rsid w:val="002B2F51"/>
    <w:rsid w:val="002C7814"/>
    <w:rsid w:val="002E185C"/>
    <w:rsid w:val="002F513B"/>
    <w:rsid w:val="00344FF9"/>
    <w:rsid w:val="00347A0E"/>
    <w:rsid w:val="003A0E73"/>
    <w:rsid w:val="003A66B0"/>
    <w:rsid w:val="003C2AF6"/>
    <w:rsid w:val="0044176E"/>
    <w:rsid w:val="004455D0"/>
    <w:rsid w:val="00451055"/>
    <w:rsid w:val="00464217"/>
    <w:rsid w:val="004A3DB3"/>
    <w:rsid w:val="004E548A"/>
    <w:rsid w:val="0050763A"/>
    <w:rsid w:val="00524313"/>
    <w:rsid w:val="005361B9"/>
    <w:rsid w:val="005A0DB7"/>
    <w:rsid w:val="005C421D"/>
    <w:rsid w:val="005C5890"/>
    <w:rsid w:val="005D124D"/>
    <w:rsid w:val="005F0495"/>
    <w:rsid w:val="00601A8C"/>
    <w:rsid w:val="006064CB"/>
    <w:rsid w:val="0061085C"/>
    <w:rsid w:val="00650E16"/>
    <w:rsid w:val="006600AC"/>
    <w:rsid w:val="00664A80"/>
    <w:rsid w:val="006E5462"/>
    <w:rsid w:val="006F0E18"/>
    <w:rsid w:val="007273E1"/>
    <w:rsid w:val="00733D28"/>
    <w:rsid w:val="00747FB5"/>
    <w:rsid w:val="007A71A3"/>
    <w:rsid w:val="007F5CF3"/>
    <w:rsid w:val="0082572D"/>
    <w:rsid w:val="00825AD5"/>
    <w:rsid w:val="00853196"/>
    <w:rsid w:val="00893581"/>
    <w:rsid w:val="008936A7"/>
    <w:rsid w:val="00893E6B"/>
    <w:rsid w:val="008B6084"/>
    <w:rsid w:val="008F24E6"/>
    <w:rsid w:val="00902C0A"/>
    <w:rsid w:val="009032BC"/>
    <w:rsid w:val="00974871"/>
    <w:rsid w:val="009B6752"/>
    <w:rsid w:val="009D5449"/>
    <w:rsid w:val="009E4966"/>
    <w:rsid w:val="00A05A31"/>
    <w:rsid w:val="00A27295"/>
    <w:rsid w:val="00A500F1"/>
    <w:rsid w:val="00A56323"/>
    <w:rsid w:val="00A961CA"/>
    <w:rsid w:val="00A96931"/>
    <w:rsid w:val="00AC233F"/>
    <w:rsid w:val="00B15BC2"/>
    <w:rsid w:val="00B46BED"/>
    <w:rsid w:val="00B57FC2"/>
    <w:rsid w:val="00B85BE5"/>
    <w:rsid w:val="00BB0E59"/>
    <w:rsid w:val="00BE7735"/>
    <w:rsid w:val="00C272C4"/>
    <w:rsid w:val="00C30B62"/>
    <w:rsid w:val="00C6610A"/>
    <w:rsid w:val="00C71B52"/>
    <w:rsid w:val="00C918DC"/>
    <w:rsid w:val="00D16919"/>
    <w:rsid w:val="00D423CA"/>
    <w:rsid w:val="00D64AF8"/>
    <w:rsid w:val="00D8259A"/>
    <w:rsid w:val="00D86EE2"/>
    <w:rsid w:val="00D87EFE"/>
    <w:rsid w:val="00D945E7"/>
    <w:rsid w:val="00DE1721"/>
    <w:rsid w:val="00E059B7"/>
    <w:rsid w:val="00E4327D"/>
    <w:rsid w:val="00E76D6F"/>
    <w:rsid w:val="00E95659"/>
    <w:rsid w:val="00E967D0"/>
    <w:rsid w:val="00ED5E68"/>
    <w:rsid w:val="00ED61AE"/>
    <w:rsid w:val="00EF7ED0"/>
    <w:rsid w:val="00F30291"/>
    <w:rsid w:val="00F372FA"/>
    <w:rsid w:val="00F7187B"/>
    <w:rsid w:val="00FB5215"/>
    <w:rsid w:val="00FB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CD8F-E844-44F9-9135-28220BA0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natalia.goncharenko</cp:lastModifiedBy>
  <cp:revision>115</cp:revision>
  <cp:lastPrinted>2018-06-23T06:46:00Z</cp:lastPrinted>
  <dcterms:created xsi:type="dcterms:W3CDTF">2018-06-20T10:08:00Z</dcterms:created>
  <dcterms:modified xsi:type="dcterms:W3CDTF">2019-04-03T13:42:00Z</dcterms:modified>
</cp:coreProperties>
</file>